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20 125 vom 30. August 2022</w:t>
      </w:r>
    </w:p>
    <w:p>
      <w:r>
        <w:t>VS Kantonsgericht, 2022-08-30, FR</w:t>
      </w:r>
    </w:p>
    <w:p>
      <w:r>
        <w:rPr>
          <w:b/>
        </w:rPr>
        <w:t xml:space="preserve">Quelle: </w:t>
      </w:r>
      <w:r>
        <w:t>https://mcp.opencaselaw.ch/entscheid/vs_gerichte_S1 20 125</w:t>
      </w:r>
    </w:p>
    <w:p>
      <w:r>
        <w:t>FR: VS_GERICHTE S1 20 125 du 30 août 2022</w:t>
      </w:r>
    </w:p>
    <w:p>
      <w:r>
        <w:t>IT: VS_GERICHTE S1 20 125 del 30 agosto 2022</w:t>
      </w:r>
    </w:p>
    <w:p>
      <w:pPr>
        <w:pStyle w:val="Heading2"/>
      </w:pPr>
      <w:r>
        <w:t>Regeste</w:t>
      </w:r>
    </w:p>
    <w:p>
      <w:r>
        <w:t>S1 20 125 JUGEMENT DU 30 AOÛT 2022 Tribunal cantonal du Valais Cour des assurances sociales Composition : Candido Prada, président ; Jean-Bernard Fournier et Christophe Joris, juges ; Mireille Allegro, greffière en la cause X _________, recourant, représenté par Maître Blaise Marmy, avocat, 1920 Martigny contre OFFICE CANTONAL AI DU VALAIS, 1950 Sion, intimé (art. 17 LPGA ; révision et suppression de rente ; calcul du revenu d’invalide)</w:t>
      </w:r>
    </w:p>
    <w:p>
      <w:pPr>
        <w:pStyle w:val="Heading2"/>
      </w:pPr>
      <w:r>
        <w:t>Erwägungen</w:t>
      </w:r>
    </w:p>
    <w:p>
      <w:r>
        <w:rPr>
          <w:b/>
        </w:rPr>
        <w:t>E. 2</w:t>
      </w:r>
    </w:p>
    <w:p>
      <w:r>
        <w:t>Le litige porte uniquement sur la suppression par voie de révision (art. 17 LPGA) de la rente d’invalidité du recourant, dès le 1er juillet 2020.</w:t>
      </w:r>
    </w:p>
    <w:p>
      <w:r>
        <w:rPr>
          <w:b/>
        </w:rPr>
        <w:t>E. 2.1</w:t>
      </w:r>
    </w:p>
    <w:p>
      <w:r>
        <w:t>Aux termes de l'article 17 LPGA (dans sa version jusqu’au 31 décembre 2021), si le taux d'invalidité du bénéficiaire de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l'article 17 LPGA. La rente</w:t>
      </w:r>
    </w:p>
    <w:p>
      <w:r>
        <w:t>- 6 - peut être révisée non seulement en cas de modification sensible de l'état de santé, mais aussi lorsque celui-ci est resté en soi le même, mais que ses conséquences sur la capacité de gain ont subi un changement important (ATF 133 V 545 consid. 6.1 ; 130 V 349 consid. 3.5 ; 113 V 275 consid. 1a ; voir également ATF 112 V 372 consid. 2b et 390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2.2</w:t>
      </w:r>
    </w:p>
    <w:p>
      <w:r>
        <w:t>En l’espèce, s’il est vrai que la situation médicale du recourant n’a pas évolué significativement depuis la décision du 14 juillet 2017 et qu’il n’a pas changé d’activité professionnelle, l’intimé a constaté, lors de la révision de mai 2019, que sa situation économique s’était, en revanche, modifiée au point d’influencer son droit à la rente. Ceci constituant un motif de révision au sens de l’article 17 LPGA, c’est à juste titre que l’intimé à procéder à un nouveau calcul du taux d’invalidité. Le rapport du Dr D _________ du 9 août 2022 porte sur un état de fait postérieur à la décision attaquée. Or, il est rappelé que selon une jurisprudence constante, le juge des assurances sociales apprécie la légalité des décisions attaquées d'après l'état de fait existant au moment où la décision litigieuse a été rendue et que les faits survenus postérieurement et ayant modifié cette situation doivent faire l'objet d'une nouvelle décision administrative (cf. ATF 136 V 24 consid. 4.3 ; 132 V 215 consid. 3.1.1 ; 130 V 445 consid. 1.2.1 ; 129 V 1 consid. 1.2 ; 121 V 362 consid. 1b). Dès lors, l’impact de la recrudescence de la hernie discale constatée à l’IRM du 4 octobre 2021 sur la capacité de travail de l’assuré devrait être examiné dans le cadre d’une nouvelle demande.</w:t>
      </w:r>
    </w:p>
    <w:p>
      <w:r>
        <w:rPr>
          <w:b/>
        </w:rPr>
        <w:t>E. 3</w:t>
      </w:r>
    </w:p>
    <w:p>
      <w:r>
        <w:t>Sur le fond, le recourant conteste les revenus d’invalide retenus par l’intimé pour les années 2017, 2018 et 2019, plus spécifiquement la prise en compte du bénéfice net d’exploitation, en sus du salaire brut AVS déclaré. 3.1.1 Selon l’article 26bis alinéa 1 RAI (règlement sur l'assurance-invalidité du 17 janvier 1961 [RAI ; RS 831.201]), si l’assuré réalise un revenu après la survenance de l’invalidité, le revenu avec invalidité (art. 16 LPGA) correspond à ce revenu, à condition que l’assuré exploite autant que possible sa capacité fonctionnelle résiduelle en exerçant</w:t>
      </w:r>
    </w:p>
    <w:p>
      <w:r>
        <w:t>- 7 - une activité qui peut raisonnablement être exigée de lui. Ainsi, le revenu d'invalide doit être évalué avant tout en fonction de la situation professionnelle concrète de l'intéressé (ATF 135 V 297 consid. 5.2 ; 129 V 472 consid. 4.2.1).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Est réputé revenu au sens de l'article 16 LPGA le revenu annuel présumable sur lequel les cotisations seraient perçues en vertu de la LAVS (art. 25 al. 1 RAI). Cette disposition n’exige toutefois pas une équivalence absolue entre les revenus déterminants pour l’évaluation de l’invalidité et ceux qui sont soumis aux cotisations AVS mais bien plutôt une mise en parallèle des revenus hypothétiques servant à la comparaison et de ceux sur lesquels les cotisations AVS doivent être payés. Cela signifie que pour l’évaluation de l’invalidité, seuls entrent en principe en ligne de compte les revenus tirés de l’exercice d’une activité lucrative pour lequel l’assuré devrait s’acquitter de cotisations à l’AVS. L’étendue des revenus à comparer se détermine dès lors en prenant en considération l’ensemble de l’activité définie par les articles 5 à 9 LAVS. Les prestations accordées par l’employeur pour compenser des pertes de salaire par suite d’accident ou de maladie entraînant une incapacité de travail dûment prouvée ne sont pas réputées revenu du travail pour la comparaison des revenus (art. 25 al. 1 let. a RAI ; Valterio, Droit de l'assurance-vieillesse et survivants [AVS] et de l'assurance-invalidité [AI], 2011, n. 2070 p. 549). 3.1.2 En ce qui concerne les indépendants, lorsqu’on ne peut établir une diminution importante, pour cause d’invalidité, du revenu de l’entreprise,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 cf. CIIAI ch. 3070).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de la circulaire sur la procédure dans l’assurance-invalidité [CPAI]). Un rapport d’enquête</w:t>
      </w:r>
    </w:p>
    <w:p>
      <w:r>
        <w:t>- 8 - devra, le cas échéant, donner des renseignements suffisamment précis sur la situation de l’entreprise. Les données des déclarations fiscales ne permettent pas de se prononcer sur le revenu réel (arrêt du Tribunal fédéral 8C_9/2009 du 10 novembre 2009 ; cf. ch. 3032 CIIAI par renvoi du ch. 3071).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21 septembre 2016). Selon la jurisprudence développée en matière AVS qui s’applique également à l’AI en vertu de l’article 25 alinéa 1 RAI, pour savoir si une personne exerce une activité lucrative à titre d’indépendant ou de salarié, il ne faut pas se fonder sur la nature juridique de la relation contractuelle entre les parties (ATF 122 V 169 consid. 3a).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 du Tribunal fédéral 9C_453/2014 du 17 février 2015). Ainsi, par exemple, un assuré qui a certes la qualité formelle d’employé d’une société anonyme ou d’une société à responsabilité limitée, mais qui occupe la fonction de directeur et possède la majorité des participations et qui de ce fait joue un rôle prépondérant sur la politique et la marche de l’entreprise, doit être considéré comme un indépendant aux fins de l’évaluation de l’invalidité (Michel Valterio, Commentaire de la loi fédérale sur l’assurance-invalidité [LAI], 2018, ch. 47 ad art. 28a LAI). Dans le cas d’une société anonyme, inscrite au registre du commerce, et dotée de la personnalité juridique, les bénéfices nets de l’entreprise, qui n’ont pas été versés à l’assuré, ne peuvent, en principe, pas être inclus dans ses revenus, puisqu’il s'agit d'une entité distincte, soumise à l'impôt (art. 72 et 80 de la loi fiscale [LF ; RS/VS 642.1]). Les revenus de la société anonyme ne se confondent donc pas avec ceux de l’assuré, comme ce serait pour le cas pour un assuré exploitant une entreprise individuelle. En revanche, selon l'article 660 alinéa 1 CO, tout actionnaire a droit à une part proportionnelle du bénéfice résultant du bilan, pour autant que la loi ou les statuts prévoient sa répartition. Ainsi, les dirigeants d’une société anonyme ou d’une société à responsabilité limitée doivent en principe être considérés comme des salariés (ch. 3028.1 par renvoi du ch. 3032.1 CIIAI). Toutefois, si une personne dirigeant une telle société dispose d’une influence déterminante sur celle-ci (par ex. parce qu’elle est</w:t>
      </w:r>
    </w:p>
    <w:p>
      <w:r>
        <w:t>- 9 - la seule à avoir le droit de signature), il est justifié d’évaluer l’invalidité par la méthode utilisée pour les indépendants (arrêts du Tribunal fédéral 8C_346/2012 du 24 août 2012 consid. 4.3 ; 8C_898/2010 du 13 avril 2011 consid. 5.3). On considère notamment qu’un assuré employé par une société anonyme revêt un statut d’indépendant s’il dispose d’une influence déterminante sur l’entreprise en sa qualité d’actionnaire unique (CIIAI, ch. 3028.2 ; cf. arrêt du Tribunal cantonal genevois ATAS/348/2019 du 18 avril 2019 consid. 7e et 8). Comme, de par cette position, il a en outre une influence déterminante sur la répartition des revenus entre salaire et bénéfice, on ne peut pas se baser seulement sur les extraits du CI pour fixer le taux d’invalidité (arrêt du Tribunal fédéral 8C_346/2012 du 24 août 2012).</w:t>
      </w:r>
    </w:p>
    <w:p>
      <w:r>
        <w:rPr>
          <w:b/>
        </w:rPr>
        <w:t>E. 3.2</w:t>
      </w:r>
    </w:p>
    <w:p>
      <w:r>
        <w:t>En l’espèce, le recourant a repris la gestion de l’entreprise individuelle de son père en 2001, avant de décider de fonder une société anonyme en 2008. Il en est l’actionnaire majoritaire à hauteur de 95%, son père - qui n’est plus actif dans la société - étant titulaire des 5% restants. Le recourant est, en outre, président avec droit de signature individuelle et s’occupe seul de la gestion de la société. Au regard de son influence prépondérante sur l’entreprise, c’est à juste titre que l’intimé a procédé comme il le ferait avec un indépendant et ceci depuis la première décision de 2014. Sur ce point, contrairement à ce que soutient le recourant, l’intimé n’a jamais modifié sa méthode de calcul. Il a toujours pris le salaire annuel brut de l’assuré (ressortant soit du CI, soit des fiches de salaire mais sans les IJ accident), auquel il a ajouté le bénéfice net de la société et non pas le dividende de 10 000 fr., respectivement 7000 fr. dès 2017, comme le prétend le recourant. A cet égard, le rapport d’enquête économique du 11 juillet 2013 (pièce 44, p. 146) est très clair : « l’assuré est actionnaire presque unique de son entreprise (tout le bénéfice lui revient). En application du chiffre 3028.1 des directives, son revenu doit être déterminé non seulement sur la base de son salaire mais également du bénéfice » (cf. voir également les tableaux récapitulatifs des enquêtes économiques ; pièce 43, p. 142, pièce 98, p. 280 et pièce 141, p. 409). Rien au dossier ne laisse penser que le bénéfice net de la société ne soit pas attribué entièrement au recourant dans les faits, respectivement que ce dernier n’ait pas toute latitude quant à l’affectation des fonds. Au contraire, il ressort des relevés bancaires déposés par le recourant que celui-ci a pu investir personnellement 90 000 fr. dans le consortium C _________ en 2019, ce qui indique qu’il a manifestement reçu le bénéfice net de la société avant de décider de le réinvestir. Le fait que le recourant ait choisi d’affecter d’importants montants dans une nouvelle société n’a pas d’incidence sur la méthode de calcul du degré d’invalidité.</w:t>
      </w:r>
    </w:p>
    <w:p>
      <w:r>
        <w:t>- 10 -</w:t>
      </w:r>
    </w:p>
    <w:p>
      <w:r>
        <w:rPr>
          <w:b/>
        </w:rPr>
        <w:t>E. 3.3</w:t>
      </w:r>
    </w:p>
    <w:p>
      <w:r>
        <w:t>Mal fondé, le recours est rejeté et la décision de suppression de rente du 26 mai 2020 confirmée.</w:t>
      </w:r>
    </w:p>
    <w:p>
      <w:r>
        <w:rPr>
          <w:b/>
        </w:rPr>
        <w:t>E. 4</w:t>
      </w:r>
    </w:p>
    <w:p>
      <w:r>
        <w:t>Les frais judiciaires, fixés sur le vu du principe de la couverture des fraiset de l’équivalence des prestations à 500 fr. (art. 61 let. a aLPGA, art. 83 LPGA ; art. 69 al. 1bis LAI ; art. 1 al. 2, 81a al. 2 et 89 al. 1 LPJA), doivent être supportés par le recourant qui succombe et compensés avec l’avance du même montant qu’il a versé. Eu égard à l’issue de la cause, il n’est pas alloué de dépens (art. 61 let. g LPGA a contrario).</w:t>
      </w:r>
    </w:p>
    <w:p>
      <w:r>
        <w:t>Prononce</w:t>
      </w:r>
    </w:p>
    <w:p>
      <w:r>
        <w:t>1. Le recours est rejeté. 2. Les frais, par 500 francs, sont mis à la charge de X _________. 3. Il n’est pas alloué de dépens.</w:t>
      </w:r>
    </w:p>
    <w:p>
      <w:r>
        <w:t>Sion, le 30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